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DD27C0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DD27C0">
        <w:rPr>
          <w:rFonts w:ascii="Times New Roman" w:eastAsiaTheme="minorHAnsi" w:hAnsi="Times New Roman"/>
          <w:b/>
          <w:bCs/>
          <w:sz w:val="24"/>
          <w:szCs w:val="24"/>
        </w:rPr>
        <w:t>SPK.261.2</w:t>
      </w:r>
      <w:r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874C81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eastAsia="Calibri" w:hAnsi="Times New Roman"/>
          <w:b/>
          <w:bCs/>
          <w:sz w:val="24"/>
          <w:szCs w:val="24"/>
          <w:lang w:eastAsia="ar-SA"/>
        </w:rPr>
        <w:t>D</w:t>
      </w:r>
      <w:r>
        <w:rPr>
          <w:rFonts w:ascii="Times New Roman" w:eastAsia="Calibri" w:hAnsi="Times New Roman"/>
          <w:b/>
          <w:bCs/>
          <w:sz w:val="24"/>
          <w:szCs w:val="24"/>
          <w:lang w:eastAsia="ar-SA"/>
        </w:rPr>
        <w:t>ostawę mebli szkolnych, sprzętu gastronomicznego, sprzętu grającego, sprzętu AGD oraz mebli gospodarczych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”,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DA027F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823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2025-07-02T18:37:00Z</dcterms:created>
  <dcterms:modified xsi:type="dcterms:W3CDTF">2025-07-02T18:44:00Z</dcterms:modified>
</cp:coreProperties>
</file>